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0" w:lineRule="auto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Al objeto de dar cumplimiento a los Indicadores de la Ley Canaria de Transparencia (Ley 12/2014, de 26 de diciembre) en su apartado </w:t>
      </w:r>
    </w:p>
    <w:p w:rsidR="00000000" w:rsidDel="00000000" w:rsidP="00000000" w:rsidRDefault="00000000" w:rsidRPr="00000000" w14:paraId="00000002">
      <w:pPr>
        <w:jc w:val="both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15"/>
          <w:szCs w:val="15"/>
        </w:rPr>
      </w:pPr>
      <w:r w:rsidDel="00000000" w:rsidR="00000000" w:rsidRPr="00000000">
        <w:rPr>
          <w:b w:val="1"/>
          <w:sz w:val="15"/>
          <w:szCs w:val="15"/>
          <w:rtl w:val="0"/>
        </w:rPr>
        <w:t xml:space="preserve">5. Retribuciones. 5.3. Personal funcionario, laboral y estatutario , 1054 Aportaciones a planes de pensiones o seguros colectivos y cualquier retribución extra salarial, articulada en función de los niveles y cargos existente </w:t>
      </w:r>
    </w:p>
    <w:p w:rsidR="00000000" w:rsidDel="00000000" w:rsidP="00000000" w:rsidRDefault="00000000" w:rsidRPr="00000000" w14:paraId="00000004">
      <w:pPr>
        <w:jc w:val="both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15"/>
          <w:szCs w:val="15"/>
        </w:rPr>
      </w:pPr>
      <w:r w:rsidDel="00000000" w:rsidR="00000000" w:rsidRPr="00000000">
        <w:rPr>
          <w:sz w:val="15"/>
          <w:szCs w:val="15"/>
          <w:rtl w:val="0"/>
        </w:rPr>
        <w:t xml:space="preserve">no existe actividad, pudiendo utilizar la ciudadanía los medios legalmente establecidos para ejercer su derecho de acceso a la información pública.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